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24 123 vom 18. August 2025</w:t>
      </w:r>
    </w:p>
    <w:p>
      <w:r>
        <w:t>VS Kantonsgericht, 2025-08-18, FR</w:t>
      </w:r>
    </w:p>
    <w:p>
      <w:r>
        <w:rPr>
          <w:b/>
        </w:rPr>
        <w:t xml:space="preserve">Quelle: </w:t>
      </w:r>
      <w:r>
        <w:t>https://mcp.opencaselaw.ch/entscheid/vs_gerichte_F1 24 123</w:t>
      </w:r>
    </w:p>
    <w:p>
      <w:r>
        <w:t>FR: VS_GERICHTE F1 24 123 du 18 août 2025</w:t>
      </w:r>
    </w:p>
    <w:p>
      <w:r>
        <w:t>IT: VS_GERICHTE F1 24 123 del 18 agosto 2025</w:t>
      </w:r>
    </w:p>
    <w:p>
      <w:pPr>
        <w:pStyle w:val="Heading2"/>
      </w:pPr>
      <w:r>
        <w:t>Regeste</w:t>
      </w:r>
    </w:p>
    <w:p>
      <w:r>
        <w:t>F1 24 123 ARRÊT DU 18 AOÛT 2025 Tribunal cantonal du Valais Cour de droit fiscal Composition : Frédéric Fellay, président ; Dr. Thierry Schnyder, juge ; Philippe Imboden, juge assesseur ; Fabienne Délèze Constantin, greffière, en la cause X _________ et Y _________, recourants contre SERVICE CANTONAL DES CONTRIBUTIONS, autorité attaquée (Impôt sur le revenu et la fortune des personnes physiques, périodes fiscales 2018 à 2022) recours contre la décision sur réclamation du 16 avril 2024</w:t>
      </w:r>
    </w:p>
    <w:p>
      <w:pPr>
        <w:pStyle w:val="Heading2"/>
      </w:pPr>
      <w:r>
        <w:t>Erwägungen</w:t>
      </w:r>
    </w:p>
    <w:p>
      <w:r>
        <w:rPr>
          <w:b/>
        </w:rPr>
        <w:t>E. 1.1</w:t>
      </w:r>
    </w:p>
    <w:p>
      <w:r>
        <w:t>Interjeté dans le délai et les formes prescrits, auprès de la juridiction compétente pour en connaître, le recours est recevable (art. 140 ss LIFD ; art. 50 al. 1 LHID ; art. 150 LF). Il porte tant sur l’IFD que sur les ICC des années 2018 à 2022 et peut être traité dans un seul arrêt (ATF 135 II 260 consid. 1.3.1).</w:t>
      </w:r>
    </w:p>
    <w:p>
      <w:r>
        <w:rPr>
          <w:b/>
        </w:rPr>
        <w:t>E. 1.2</w:t>
      </w:r>
    </w:p>
    <w:p>
      <w:r>
        <w:t>Sans préciser les allégués à l’appui desquels ils formulent leur requête, ni la nature des renseignements à recueillir, les recourants demandent à ce que le Secrétariat d’Etat aux questions financières internationales soit consulté. Une telle démarche n’apparaît toutefois pas pertinente pour l’issue de la cause. L’on ne voit en effet pas qu’elle puisse renseigner le tribunal autrement que de manière toute générale sur la situation financière</w:t>
      </w:r>
    </w:p>
    <w:p>
      <w:r>
        <w:t>- 6 - du Liban. La crise économique et financière sévissant dans ce pays depuis plusieurs années consiste au surplus dans un fait notoire, dont les médias se sont très largement fait l’écho. L’offre de preuve des recourants sera en conséquence rejetée par appréciation anticipée de son utilité (art. 81a al. 2 LPJA, art. 80 al. 1 let. d, 56 al. 1 et 17 al. 2 LPJA ; ATF 145 I 167). II. Grief formel</w:t>
      </w:r>
    </w:p>
    <w:p>
      <w:r>
        <w:rPr>
          <w:b/>
        </w:rPr>
        <w:t>E. 2</w:t>
      </w:r>
    </w:p>
    <w:p>
      <w:r>
        <w:t>Dans un grief d’ordre formel qu’il convient d’examiner en premier lieu, les recourants reprochent au SCC de ne pas avoir consulté le Secrétariat d’Etat aux questions financières internationales.</w:t>
      </w:r>
    </w:p>
    <w:p>
      <w:r>
        <w:rPr>
          <w:b/>
        </w:rPr>
        <w:t>E. 2.1</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L’autorité de taxation doit établir d’office les faits déterminants pour une taxation conforme et correcte du contribuable, mais cette maxime inquisitoire ne dispense par le contribuable de collaborer à l’établissement des faits (cf. art. 123 al. 1 et 134 al. 1 LIFD, art. 46 al. 1 et 48 al. 3 LHID). L’autorité a par ailleurs le droit de renoncer à la collecte de preuves qui ne permettront vraisemblablement pas d’établir des faits déterminants pour la taxation. Enfin, si l’autorité reste dans l’incertitude après avoir procédé aux investigations requises, elle appliquera les règles sur le fardeau de la preuve (cf. infra consid. 4.3 ; voir ég. BERDOZ/BUGNON, La procédure mixte en matière d’impôts directs, in : OREF [édit.], Les procédures en droit fiscal, 4ème éd. 2021, p. 501 ss, p. 589).</w:t>
      </w:r>
    </w:p>
    <w:p>
      <w:r>
        <w:rPr>
          <w:b/>
        </w:rPr>
        <w:t>E. 2.2</w:t>
      </w:r>
    </w:p>
    <w:p>
      <w:r>
        <w:t>En l’espèce, le dossier de l’autorité attaquée contenait tous les éléments nécessaires pour apprécier le caractère imposable des avoirs bancaires litigieux, à titre de fortune comme de revenu, lors des périodes fiscales en cause. Comme indiqué ci-dessus (cf. supra consid. 1.2), l’on ne voit pas quel renseignement supplémentaire et pertinent pour l’issue du litige le SCC aurait pu recueillir auprès du Secrétariat d’Etat aux questions</w:t>
      </w:r>
    </w:p>
    <w:p>
      <w:r>
        <w:t>- 7 - financières internationales, hormis des généralités sur la situation libanaise, dont les pièces remises par les recourants faisaient déjà état. L’autorité attaquée pouvait donc valablement mettre un terme à l’instruction, ce d’autant que ces derniers n’avaient formulé aucune offre de preuve particulière au stade de leur réclamation. Leur grief doit, partant, être rejeté. III. Objet du litige</w:t>
      </w:r>
    </w:p>
    <w:p>
      <w:r>
        <w:rPr>
          <w:b/>
        </w:rPr>
        <w:t>E. 3</w:t>
      </w:r>
    </w:p>
    <w:p>
      <w:r>
        <w:t>L’objet du litige consiste à déterminer si les avoirs que les recourants détiennent dans des institutions bancaires libanaises et les rendements y afférents sont ou non imposables pour les périodes fiscales en cause (2018 à 2022) et, le cas échéant, à quelle valeur. A juste titre, les recourants ne contestent pas que les conditions pour procéder à un rappel d’impôt au sens des art. 151 LIFD, 53 LHID et 158 LF sont réalisées s’agissant des périodes fiscales 2018 à 2021 (sur cette question, à examiner d’office [arrêt du Tribunal fédéral 2C_118/2021 du 8 juillet 2021 consid. 6.3], cf. p. ex. ATF 144 II 359 consid. 4.5.1). Il n’est en effet pas litigieux que les recourants n’ont fait état de plusieurs comptes bancaires, dont ceux qu’ils détiennent au Liban, qu’à l’occasion de leur déclaration d’impôt 2022. Les recourants critiquent, en revanche, la valeur que le SCC a, pour chaque période fiscale concernée, attribuée à leurs avoirs bancaires étrangers et aux revenus générés par ceux-ci. A leur sens, ces avoirs n’auraient plus aucune valeur en raison de la crise financière sévissant au Liban, ainsi que de la confiscation dont ils feraient de facto l’objet de la part des banques. Ils contestent donc que ces avoirs et leurs rendements puissent être taxés au titre de l’impôt cantonal et communal sur la fortune, respectivement de l’impôt fédéral, cantonal et communal sur le revenu. IV. Impôts cantonaux et communaux</w:t>
      </w:r>
    </w:p>
    <w:p>
      <w:r>
        <w:rPr>
          <w:b/>
        </w:rPr>
        <w:t>E. 4.1</w:t>
      </w:r>
    </w:p>
    <w:p>
      <w:r>
        <w:t>L’impôt sur la fortune a pour objet l’ensemble de la fortune nette (art. 13 al. 1 LHID ; cf. ég. art. 53 al. 1 et 53a al. 1 LF). La fortune imposable se détermine d’après son état à la fin de la période fiscale ou de l’assujettissement (art. 17 al. 1 LHID et 66 al. 1 LF). Selon l’art. 14 al. 1 LHID, elle est estimée à la valeur vénale. Toutefois, la valeur de rendement peut être prise en considération de façon appropriée. La valeur vénale est la valeur marchande objective d’un actif à un moment donné. Il s’agit de la valeur qu’un acheteur paierait normalement dans des circonstances normales (cf. arrêt du Tribunal fédéral 2C_866/2019 du 27 août 2020 consid. 4.1 et les références citées). L’évaluation selon la valeur vénale est obligatoire pour les cantons. La LHID ne prescrit toutefois pas</w:t>
      </w:r>
    </w:p>
    <w:p>
      <w:r>
        <w:t>- 8 - au législateur cantonal une méthode d’évaluation précise pour déterminer cette valeur (ATF 134 II 207 consid. 3.6).</w:t>
      </w:r>
    </w:p>
    <w:p>
      <w:r>
        <w:rPr>
          <w:b/>
        </w:rPr>
        <w:t>E. 4.2</w:t>
      </w:r>
    </w:p>
    <w:p>
      <w:r>
        <w:t>Les avoirs libellés en monnaie étrangère sont imposables pour leur contre-valeur en francs suisses. Celle-ci est déterminée au moyen du cours des devises et billets de banque en vigueur au 31 décembre de chaque période fiscale considérée (cf. RICHNER/FREI/KAUFMANN/ROHNER, Kommentar zum Zürcher Steuergesetz, 4ème éd. 2021, ad § 39, n. 17 ; Reich, Steuerrecht, 3ème éd. 2020, ad § 14, n. 26 ; ces cours sont publiés par l’AFC à l’adresse : https://www.ictax.admin.ch/extern/fr.html#/ratelist).</w:t>
      </w:r>
    </w:p>
    <w:p>
      <w:r>
        <w:rPr>
          <w:b/>
        </w:rPr>
        <w:t>E. 4.3</w:t>
      </w:r>
    </w:p>
    <w:p>
      <w:r>
        <w:t>En droit valaisan, le principe de l’estimation des actifs à leur valeur vénale est repris à l’art. 53a al. 2 LF, sous réserve que les biens concernés soient soumis à une règle spécifique. L’art. 56 al. 7 LF dispose que les créances douteuses et les droits litigieux sont évalués en tenant compte équitablement de la probabilité de leur recouvrement. Selon la jurisprudence et la doctrine, les créances sont, en principe, arrêtées à leur valeur nominale, de telle sorte que le montant total de la créance est soumis à l’impôt sur la fortune. Font exception les cas où la probabilité de perte (« Verlustwahrscheinlichkeit ») justifie une valeur plus basse. Tel peut être le cas si la créance est contestée ou incertaine (arrêt du Tribunal fédéral 2C_565/2007 du 15 janvier 2008 consid. 4.2 ; arrêts du Tribunal cantonal fribourgeois 604 2019 87 du 8 mai 2020 consid. 2.2 et 604 2016 106 du 21 août 2017 consid. 2b ; STRAMEK, in Kommentar zum Aargauer Steuergesetz, KLÖTI-WEBER/SCHUDEL/SCHWARB [édit.], 5ème éd., 2023, ad § 50 n. 4; TEUSCHER/LOBSIGER, in Kommentar zum Schweizerischen Steuerrecht, Bundesgesetz über die Harmonisierung der direkten Steuern des Kantone und Gemeinden, ZWEIFEL/BEUSCH [édit.], 4ème éd., 2022, ad art. 14 n. 8). Si la créance contestée ou incertaine se trouve dans la fortune privée, la probabilité de perte est directement prise en compte lors de son évaluation par une décote. Si la créance fait partie de la fortune commerciale, le créancier peut constituer une provision sur celle-ci (STRAMEK, op. cit., ad § 50, n. 38). Une créance est contestée lorsque le débiteur en conteste l’existence. Elle est incertaine si son recouvrement fait l’objet de doutes sérieux. A cet égard, il n’est pas nécessaire qu’une procédure d’exécution forcée ait été introduite contre le débiteur. La probabilité de perte et donc la moins-value de la créance peuvent également être prouvées d’une autre manière, par exemple par un extrait du registre des poursuites du débiteur ou un rapport sur sa situation financière (arrêt du Tribunal cantonal vaudois FI.2019.0155 du 11 juin 2021 consid. 3c ; arrêts du Tribunal cantonal fribourgeois 604 2019 87 et 604 2016 106 précités ; STRAMEK, op. cit., ad § 50 n. 39 et 40). Pour les avoirs en monnaie étrangère, une correction de valeur liée au taux de</w:t>
      </w:r>
    </w:p>
    <w:p>
      <w:r>
        <w:t>- 9 - change n’est reconnue fiscalement que s’il existe un risque immédiat de perte de valeur. Le risque général de perte de change n’autorise pas à procéder à des corrections de valeur (STRAMEK, op. cit., ad § 50, n. 42).</w:t>
      </w:r>
    </w:p>
    <w:p>
      <w:r>
        <w:rPr>
          <w:b/>
        </w:rPr>
        <w:t>E. 4.4</w:t>
      </w:r>
    </w:p>
    <w:p>
      <w:r>
        <w:t>et les références citées).</w:t>
      </w:r>
    </w:p>
    <w:p>
      <w:r>
        <w:rPr>
          <w:b/>
        </w:rPr>
        <w:t>E. 4.5</w:t>
      </w:r>
    </w:p>
    <w:p>
      <w:r>
        <w:t>En matière fiscale, les règles générales du fardeau de la preuve ancrées à l’art. 8 CC, qui sont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147 II 338 consid. 3.2, ATF 146 II 6 consid. 4.2).</w:t>
      </w:r>
    </w:p>
    <w:p>
      <w:r>
        <w:rPr>
          <w:b/>
        </w:rPr>
        <w:t>E. 4.6</w:t>
      </w:r>
    </w:p>
    <w:p>
      <w:r>
        <w:t>En l’espèce, les recourants ne prétendent pas que les banques libanaises qui détiennent leurs avoirs contesteraient l’existence de leurs créances. Des relevés</w:t>
      </w:r>
    </w:p>
    <w:p>
      <w:r>
        <w:t>- 10 - bancaires figurant au dossier, il ressort au contraire que ces créances ne sont pas litigieuses. Les recourants soutiennent uniquement qu’en raison du régime de rationalisation des retraits pratiqué depuis 2019, leurs créances seraient douteuses, en ce sens que leur recouvrement serait incertain. A l’appui de leur allégation, les recourants n’ont toutefois apporté aucun élément de preuve pertinent pour en attester, comme l’a constaté le SCC. La documentation qu’ils ont produite ne contient que des informations générales sur la crise économique et bancaire sévissant au Liban. Elle ne fournit aucun renseignement spécifique sur la situation financière de leurs banques, ainsi que sur la « confiscation » dont leurs avoirs auraient de facto fait l’objet durant les périodes fiscales en cause. Les recourants n’ont, en particulier, pas démontré que leurs banques seraient insolvables, ni qu’elles auraient refusé d’exécuter des ordres de transfert ou de retrait en leur faveur entre 2018 et 2022 par manque de liquidités. Ils n’allèguent d’ailleurs pas, ni ne démontrent qu’ils auraient exigé le remboursement de leurs créances ou vainement entrepris des démarches en ce sens durant les exercices litigieux. De l’attestation que le contribuable a signée en 2023, il ressort au contraire que l’intéressé a uniquement renoncé à exiger temporairement le remboursement de ses créances, circonstance qui, à elle seule, ne rend pas leur recouvrement incertain à l’échéance que l’intéressé a accepté de reporter. Alors que le fardeau de la preuve leur incombe, les recourants n’ont donc pas établi de probabilité de perte sur leurs créances, ni n’ont démontré que leurs banques libanaises auraient, durant les périodes fiscales litigieuses, manqué à leurs obligations au point de faire apparaître leur prétention comme incertaine. Dans pareilles circonstances, le SCC se devait, en conséquence, d’imposer leurs avoirs, comme les rendements y afférents, en tenant compte de leur valeur nominale à la fin de chaque période fiscale considérée, tant au titre de l’impôt sur la fortune que de celui sur le revenu. Pour le reste, dans la mesure où les avoirs litigieux des recourants, détenus non seulement en livres libanaises, mais également en dollars américains, ont été convertis en francs suisses au moyen du taux de change en vigueur au 31 décembre de chaque année considérée, leur imposition a dûment tenu compte des fluctuations de cours/dépréciations intervenues lors des périodes fiscales en cause. Les recourants n’allèguent au surplus pas ni n’entreprennent de démontrer, alors qu’il leur appartenait de le faire s’agissant de faits susceptibles de diminuer leur charge fiscale, que leurs avoirs auraient été, à la fin de l’une ou l’autre desdites périodes, exposés à un risque immédiat (et nouveau) de perte justifiant une correction de valeur. De la documentation qu’ils ont eux-mêmes produite (cf. p. 3 in initio du rapport économique 2023), il ressort</w:t>
      </w:r>
    </w:p>
    <w:p>
      <w:r>
        <w:t>- 11 - au contraire que les problèmes monétaires du Liban interviennent dans le contexte d’une profonde crise financière et économique qui s’inscrit dans la durée. Le grief des recourants doit, en conséquence, être rejeté. V. Impôt fédéral direct</w:t>
      </w:r>
    </w:p>
    <w:p>
      <w:r>
        <w:rPr>
          <w:b/>
        </w:rPr>
        <w:t>E. 5</w:t>
      </w:r>
    </w:p>
    <w:p>
      <w:r>
        <w:t>Les règles en matière de détermination du revenu imposable des personnes physiques prévues aux art. 16 et 20 al. 1 let. a LIFD sont similaires à celles régissant l’impôt cantonal et communal sur le revenu (art. 12 et 16 al. 1 let. a LF ; art. 7 al. 1 LHID ; sur l’harmonisation verticale de la notion de revenu, cf. NOËL, op. cit., ad art. 16, n. 20). Ainsi, il peut être renvoyé à la motivation développée ci-dessus s’agissant de l’IFD. Les recourants n’ayant pas démontré l’insolvabilité ou le refus de leurs banques libanaises d’exécuter leurs obligations, tous les rendements crédités sur leurs comptes entre 2018 et 2022 sont imposables à hauteur de leur contre-valeur en francs suisses, selon le taux de change en vigueur au 31 décembre de chaque période fiscale concernée. VI. Conclusion, frais et dépens</w:t>
      </w:r>
    </w:p>
    <w:p>
      <w:r>
        <w:rPr>
          <w:b/>
        </w:rPr>
        <w:t>E. 6.1</w:t>
      </w:r>
    </w:p>
    <w:p>
      <w:r>
        <w:t>Les considérants qui précèdent conduisent au rejet du recours, tant en matière d’ICC que d’IFD (art. 150 al. 1 LF ; art. 80 al. 1 let. e et 60 al. 1 LPJA).</w:t>
      </w:r>
    </w:p>
    <w:p>
      <w:r>
        <w:rPr>
          <w:b/>
        </w:rPr>
        <w:t>E. 6.2</w:t>
      </w:r>
    </w:p>
    <w:p>
      <w:r>
        <w:t>Les frais de la cause, fixés principalement sur le vu des principes de la couverture des frais et de l’équivalence des prestations, à 1200 fr., sont mis à la charge des recourants qui succombent et qui n’ont pas droit à des dépens (art. 144 LIFD, art. 8 LALIFD ; art. 150 al. 3 LF ; art. 89 al. 1 LPJA, 64 al. 1 a contrario PA,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